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0" w:rsidRDefault="00C82480" w:rsidP="00912E5C">
      <w:pPr>
        <w:pStyle w:val="num1Diagrama"/>
        <w:tabs>
          <w:tab w:val="left" w:pos="567"/>
          <w:tab w:val="left" w:pos="2541"/>
        </w:tabs>
        <w:rPr>
          <w:b/>
          <w:sz w:val="24"/>
          <w:szCs w:val="24"/>
          <w:lang w:val="lt-LT"/>
        </w:rPr>
      </w:pPr>
    </w:p>
    <w:p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rsidR="00C82480" w:rsidRDefault="00C82480">
      <w:pPr>
        <w:pStyle w:val="BodyText1"/>
        <w:spacing w:line="276" w:lineRule="auto"/>
        <w:ind w:firstLine="0"/>
        <w:rPr>
          <w:lang w:val="lt-LT"/>
        </w:rPr>
      </w:pPr>
    </w:p>
    <w:p w:rsidR="00C82480" w:rsidRPr="00D06DDA" w:rsidRDefault="001907F0">
      <w:pPr>
        <w:pStyle w:val="BodyText1"/>
        <w:spacing w:line="276" w:lineRule="auto"/>
        <w:jc w:val="center"/>
        <w:rPr>
          <w:lang w:val="lt-LT"/>
        </w:rPr>
      </w:pPr>
      <w:r>
        <w:rPr>
          <w:lang w:val="lt-LT"/>
        </w:rPr>
        <w:t>Šiaulių žuvininkystės regiono vietos veiklos grupė (toliau – ŽRVVG)</w:t>
      </w:r>
    </w:p>
    <w:p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rsidR="00C82480" w:rsidRDefault="00D915A7">
      <w:pPr>
        <w:pStyle w:val="BodyText1"/>
        <w:spacing w:line="276" w:lineRule="auto"/>
        <w:jc w:val="center"/>
      </w:pPr>
      <w:r>
        <w:rPr>
          <w:lang w:val="lt-LT"/>
        </w:rPr>
        <w:t>Kvietimo Nr. 14</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1. BENDROJI VIETOS PROJEKTŲ FINANSAVIMO SĄLYGŲ APRAŠO DALIS</w:t>
            </w:r>
          </w:p>
        </w:tc>
      </w:tr>
      <w:tr w:rsidR="00C82480"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5463E" w:rsidRDefault="00856110">
            <w:pPr>
              <w:jc w:val="both"/>
              <w:rPr>
                <w:sz w:val="21"/>
                <w:szCs w:val="21"/>
              </w:rPr>
            </w:pPr>
            <w:r w:rsidRPr="0065463E">
              <w:rPr>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65463E">
              <w:rPr>
                <w:bCs/>
                <w:color w:val="000000"/>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65463E">
              <w:rPr>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w:t>
            </w:r>
            <w:r w:rsidRPr="0065463E">
              <w:rPr>
                <w:color w:val="auto"/>
                <w:sz w:val="21"/>
                <w:szCs w:val="21"/>
              </w:rPr>
              <w:t>programos priemonių projektuose diegiamų inovacijų vertinimo metodikos patvirtinimo</w:t>
            </w:r>
            <w:r w:rsidRPr="0065463E">
              <w:rPr>
                <w:sz w:val="21"/>
                <w:szCs w:val="21"/>
              </w:rPr>
              <w:t>“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FSA taikomas:</w:t>
            </w:r>
          </w:p>
          <w:p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FE4949">
            <w:pPr>
              <w:jc w:val="both"/>
            </w:pPr>
            <w:r>
              <w:rPr>
                <w:sz w:val="22"/>
                <w:szCs w:val="22"/>
              </w:rPr>
              <w:t xml:space="preserve">VPS priemonės </w:t>
            </w:r>
            <w:r w:rsidR="00800C6E" w:rsidRPr="006E0061">
              <w:rPr>
                <w:b/>
              </w:rPr>
              <w:t>,,Paslaugų skirtų aktyviam poilsiui organizuoti  ir sveikai gyvensenai skatinti kūrimas ir plėtra“ kodas (BIVP -AKVA-SAVA-5)</w:t>
            </w:r>
            <w:r w:rsidR="001907F0">
              <w:rPr>
                <w:sz w:val="22"/>
                <w:szCs w:val="22"/>
              </w:rPr>
              <w:t xml:space="preserve">, (toliau – VPS priemonė) vietos projektams </w:t>
            </w:r>
          </w:p>
        </w:tc>
      </w:tr>
      <w:tr w:rsidR="00C82480"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2</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1</w:t>
            </w:r>
          </w:p>
        </w:tc>
      </w:tr>
      <w:tr w:rsidR="00C82480"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7</w:t>
            </w:r>
          </w:p>
        </w:tc>
      </w:tr>
      <w:tr w:rsidR="00C82480"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FSA suderinta su Nacionaline mokėjimo agentūra prie Žemės ūkio ministerijos (toliau – Agentūra) raštu:</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pPr>
            <w:r>
              <w:rPr>
                <w:sz w:val="22"/>
                <w:szCs w:val="22"/>
              </w:rPr>
              <w:t>Nr. BR6-6248</w:t>
            </w:r>
          </w:p>
        </w:tc>
      </w:tr>
      <w:tr w:rsidR="00C82480"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lastRenderedPageBreak/>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rPr>
                <w:highlight w:val="yellow"/>
              </w:rPr>
            </w:pPr>
            <w:r w:rsidRPr="00AF0BF8">
              <w:rPr>
                <w:sz w:val="22"/>
                <w:szCs w:val="22"/>
              </w:rPr>
              <w:t>Šiaulių ŽRVVG valdybos posėdžio protokolu Nr. 3</w:t>
            </w:r>
          </w:p>
        </w:tc>
      </w:tr>
      <w:tr w:rsidR="00C82480"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r>
      <w:tr w:rsidR="00C82480"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800C6E" w:rsidRDefault="00800C6E">
            <w:pPr>
              <w:rPr>
                <w:sz w:val="22"/>
                <w:szCs w:val="22"/>
              </w:rPr>
            </w:pPr>
            <w:r w:rsidRPr="00800C6E">
              <w:rPr>
                <w:rFonts w:eastAsia="Calibri"/>
                <w:sz w:val="22"/>
                <w:szCs w:val="22"/>
              </w:rPr>
              <w:t xml:space="preserve">Viešiesiems </w:t>
            </w:r>
            <w:r w:rsidR="00802AED">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savivaldybės, savivaldybė</w:t>
            </w:r>
            <w:r w:rsidR="00802AED">
              <w:rPr>
                <w:rFonts w:eastAsia="Calibri"/>
                <w:sz w:val="22"/>
                <w:szCs w:val="22"/>
              </w:rPr>
              <w:t>m</w:t>
            </w:r>
            <w:r w:rsidRPr="00800C6E">
              <w:rPr>
                <w:rFonts w:eastAsia="Calibri"/>
                <w:sz w:val="22"/>
                <w:szCs w:val="22"/>
              </w:rPr>
              <w:t>s įstaigoms, registruotoms ŽRVVG teritorijoje.</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8F253F" w:rsidP="00912E5C">
            <w:pPr>
              <w:jc w:val="center"/>
              <w:rPr>
                <w:sz w:val="22"/>
                <w:szCs w:val="22"/>
              </w:rPr>
            </w:pPr>
            <w:r>
              <w:rPr>
                <w:sz w:val="22"/>
                <w:szCs w:val="22"/>
              </w:rPr>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912E5C"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800C6E"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sidRPr="00800C6E">
              <w:rPr>
                <w:sz w:val="22"/>
                <w:szCs w:val="22"/>
              </w:rPr>
              <w:t>sveikatinimo</w:t>
            </w:r>
            <w:proofErr w:type="spellEnd"/>
            <w:r w:rsidRPr="00800C6E">
              <w:rPr>
                <w:sz w:val="22"/>
                <w:szCs w:val="22"/>
              </w:rPr>
              <w:t xml:space="preserve"> laisvalaikiui, vandens sportui  organizuoti, įsigijimą, taip pat veiklas skirtas skatinti ir propaguoti aktyvų </w:t>
            </w:r>
            <w:proofErr w:type="spellStart"/>
            <w:r w:rsidRPr="00800C6E">
              <w:rPr>
                <w:sz w:val="22"/>
                <w:szCs w:val="22"/>
              </w:rPr>
              <w:t>sveikatinimo</w:t>
            </w:r>
            <w:proofErr w:type="spellEnd"/>
            <w:r w:rsidRPr="00800C6E">
              <w:rPr>
                <w:sz w:val="22"/>
                <w:szCs w:val="22"/>
              </w:rPr>
              <w:t xml:space="preserve"> laisvalaikį. Vadovaujantis projektiniais pasiūlymais, numatoma paremti ne mažiau kaip 3 vietos projektus. Priemonė sudaro prielaidas darbo vietoms kurtis (tiesiogiai jų nekuria). </w:t>
            </w:r>
            <w:r w:rsidR="008F253F"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0C6E" w:rsidRPr="00800C6E" w:rsidRDefault="00912E5C"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r w:rsidR="00800C6E">
              <w:rPr>
                <w:sz w:val="22"/>
                <w:szCs w:val="22"/>
              </w:rPr>
              <w:t>.</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Galimi vietos projekto pareiškėjo partneriai:</w:t>
            </w:r>
            <w:r>
              <w:rPr>
                <w:rStyle w:val="FootnoteReference"/>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sidRPr="00FE4949">
              <w:rPr>
                <w:sz w:val="22"/>
                <w:szCs w:val="22"/>
              </w:rPr>
              <w:t>Galimi partneriai:</w:t>
            </w:r>
            <w:r>
              <w:rPr>
                <w:sz w:val="22"/>
                <w:szCs w:val="22"/>
              </w:rPr>
              <w:t xml:space="preserve"> fiziniai ir/ar  juridiniai asmenys, užsiimantys akvakultūra</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574702" w:rsidP="00912E5C">
            <w:pPr>
              <w:jc w:val="both"/>
            </w:pPr>
            <w:r>
              <w:rPr>
                <w:sz w:val="22"/>
                <w:szCs w:val="22"/>
              </w:rPr>
              <w:t>7</w:t>
            </w:r>
            <w:r w:rsidR="00C33E3D">
              <w:rPr>
                <w:sz w:val="22"/>
                <w:szCs w:val="22"/>
              </w:rPr>
              <w:t xml:space="preserve"> 6</w:t>
            </w:r>
            <w:r w:rsidR="00912E5C">
              <w:rPr>
                <w:sz w:val="22"/>
                <w:szCs w:val="22"/>
              </w:rPr>
              <w:t xml:space="preserve">00 </w:t>
            </w:r>
            <w:proofErr w:type="spellStart"/>
            <w:r w:rsidR="00912E5C">
              <w:rPr>
                <w:sz w:val="22"/>
                <w:szCs w:val="22"/>
              </w:rPr>
              <w:t>Eur</w:t>
            </w:r>
            <w:proofErr w:type="spellEnd"/>
            <w:r w:rsidR="00912E5C">
              <w:rPr>
                <w:sz w:val="22"/>
                <w:szCs w:val="22"/>
              </w:rPr>
              <w:t xml:space="preserve"> lėšų.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574702" w:rsidP="00912E5C">
            <w:pPr>
              <w:jc w:val="both"/>
            </w:pPr>
            <w:r>
              <w:rPr>
                <w:sz w:val="22"/>
                <w:szCs w:val="22"/>
              </w:rPr>
              <w:t>7 6</w:t>
            </w:r>
            <w:bookmarkStart w:id="0" w:name="_GoBack"/>
            <w:bookmarkEnd w:id="0"/>
            <w:r w:rsidR="00912E5C">
              <w:rPr>
                <w:sz w:val="22"/>
                <w:szCs w:val="22"/>
              </w:rPr>
              <w:t xml:space="preserve">00 </w:t>
            </w:r>
            <w:proofErr w:type="spellStart"/>
            <w:r w:rsidR="00912E5C">
              <w:rPr>
                <w:sz w:val="22"/>
                <w:szCs w:val="22"/>
              </w:rPr>
              <w:t>Eur</w:t>
            </w:r>
            <w:proofErr w:type="spellEnd"/>
            <w:r w:rsidR="00912E5C">
              <w:rPr>
                <w:sz w:val="22"/>
                <w:szCs w:val="22"/>
              </w:rPr>
              <w:t>.</w:t>
            </w:r>
            <w:r w:rsidR="00912E5C">
              <w:rPr>
                <w:i/>
                <w:sz w:val="22"/>
                <w:szCs w:val="22"/>
              </w:rPr>
              <w:t xml:space="preserve"> </w:t>
            </w:r>
          </w:p>
          <w:p w:rsidR="00912E5C" w:rsidRDefault="00912E5C" w:rsidP="00912E5C">
            <w:pPr>
              <w:jc w:val="both"/>
              <w:rPr>
                <w:b/>
                <w:i/>
                <w:sz w:val="22"/>
                <w:szCs w:val="22"/>
              </w:rPr>
            </w:pP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FE4949" w:rsidRDefault="00912E5C" w:rsidP="00912E5C">
            <w:pPr>
              <w:jc w:val="both"/>
            </w:pPr>
            <w:r w:rsidRPr="00FE4949">
              <w:rPr>
                <w:sz w:val="22"/>
                <w:szCs w:val="22"/>
              </w:rPr>
              <w:t xml:space="preserve">1. Pareiškėjo nuosavos piniginės lėšos </w:t>
            </w:r>
          </w:p>
          <w:p w:rsidR="00912E5C" w:rsidRPr="00FE4949" w:rsidRDefault="00912E5C" w:rsidP="00912E5C">
            <w:pPr>
              <w:jc w:val="both"/>
            </w:pPr>
            <w:r w:rsidRPr="00FE4949">
              <w:rPr>
                <w:sz w:val="22"/>
                <w:szCs w:val="22"/>
              </w:rPr>
              <w:t>2. Pareiškėjo skolintos lėšos</w:t>
            </w:r>
          </w:p>
          <w:p w:rsidR="00912E5C" w:rsidRDefault="00912E5C" w:rsidP="00912E5C">
            <w:pPr>
              <w:jc w:val="both"/>
            </w:pPr>
            <w:r w:rsidRPr="00FE4949">
              <w:rPr>
                <w:sz w:val="22"/>
                <w:szCs w:val="22"/>
              </w:rPr>
              <w:t>3. Partnerio nuosavos ar skolintos lėšos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912E5C" w:rsidRDefault="00912E5C" w:rsidP="00912E5C">
            <w:pPr>
              <w:rPr>
                <w:b/>
                <w:sz w:val="22"/>
                <w:szCs w:val="22"/>
              </w:rPr>
            </w:pPr>
          </w:p>
        </w:tc>
      </w:tr>
    </w:tbl>
    <w:p w:rsidR="00C82480" w:rsidRDefault="00C82480">
      <w:pPr>
        <w:rPr>
          <w:sz w:val="22"/>
          <w:szCs w:val="22"/>
        </w:rPr>
      </w:pPr>
    </w:p>
    <w:p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lastRenderedPageBreak/>
              <w:t>2. VIETOS PROJEKTŲ ATRANKOS KRITERIJAI</w:t>
            </w:r>
          </w:p>
        </w:tc>
      </w:tr>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Patikrinamumas</w:t>
            </w:r>
            <w:proofErr w:type="spellEnd"/>
          </w:p>
          <w:p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Kontroliuojamumas</w:t>
            </w:r>
            <w:proofErr w:type="spellEnd"/>
          </w:p>
          <w:p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V</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jaunus žmones vienijanti </w:t>
            </w:r>
            <w:proofErr w:type="spellStart"/>
            <w:r w:rsidR="00C33E3D" w:rsidRPr="00EE02DF">
              <w:rPr>
                <w:rFonts w:eastAsia="Calibri"/>
                <w:b/>
                <w:sz w:val="22"/>
                <w:szCs w:val="22"/>
              </w:rPr>
              <w:t>oganizacija</w:t>
            </w:r>
            <w:proofErr w:type="spellEnd"/>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jaunus žmones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Jaunimo politikos pagrindų   </w:t>
            </w:r>
            <w:r w:rsidR="00802AED" w:rsidRPr="00802AED">
              <w:rPr>
                <w:color w:val="000000"/>
                <w:sz w:val="22"/>
                <w:szCs w:val="22"/>
              </w:rPr>
              <w:t>2003 m. gruodžio 4 d. Nr. IX-1871</w:t>
            </w:r>
          </w:p>
          <w:p w:rsidR="00802AED" w:rsidRDefault="00802AED" w:rsidP="00802AED">
            <w:pPr>
              <w:rPr>
                <w:bCs/>
                <w:color w:val="000000"/>
                <w:sz w:val="22"/>
                <w:szCs w:val="22"/>
              </w:rPr>
            </w:pPr>
            <w:r>
              <w:rPr>
                <w:bCs/>
                <w:color w:val="000000"/>
                <w:sz w:val="22"/>
                <w:szCs w:val="22"/>
              </w:rPr>
              <w:t>Įstatymu (su vėlesniais pakeitimais).</w:t>
            </w:r>
          </w:p>
          <w:p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91ABE" w:rsidRPr="00802AED" w:rsidRDefault="001907F0" w:rsidP="00A91ABE">
            <w:pPr>
              <w:rPr>
                <w:color w:val="000000"/>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t>jaunus žmones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rsidR="00C82480" w:rsidRPr="000E36C2" w:rsidRDefault="00C82480" w:rsidP="001D0B1D">
            <w:pPr>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3 ir daugiau partneriais, fiziniais ir/ar juridiniais jaunus žmones 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 xml:space="preserve">pareiškėjas jaunus žmones vienijanti nevyriausybinė organizacija, teikianti paraišką kartu su 2 partneriais, fiziniais ir/ar juridiniais asmenimis, užsiimančiais sportine veikla ir/arba </w:t>
            </w:r>
            <w:r w:rsidRPr="00EE02DF">
              <w:rPr>
                <w:rFonts w:eastAsia="Calibri"/>
                <w:sz w:val="22"/>
                <w:szCs w:val="22"/>
              </w:rPr>
              <w:lastRenderedPageBreak/>
              <w:t>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lastRenderedPageBreak/>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pareiškėjas jaunus žmones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both"/>
              <w:rPr>
                <w:sz w:val="22"/>
                <w:szCs w:val="22"/>
              </w:rPr>
            </w:pPr>
            <w:r w:rsidRPr="00EE02DF">
              <w:rPr>
                <w:b/>
                <w:sz w:val="22"/>
                <w:szCs w:val="22"/>
              </w:rPr>
              <w:t xml:space="preserve">Projekte numatyta </w:t>
            </w:r>
            <w:proofErr w:type="spellStart"/>
            <w:r w:rsidRPr="00EE02DF">
              <w:rPr>
                <w:b/>
                <w:sz w:val="22"/>
                <w:szCs w:val="22"/>
              </w:rPr>
              <w:t>savanorystės</w:t>
            </w:r>
            <w:proofErr w:type="spellEnd"/>
            <w:r w:rsidRPr="00EE02DF">
              <w:rPr>
                <w:b/>
                <w:sz w:val="22"/>
                <w:szCs w:val="22"/>
              </w:rPr>
              <w:t xml:space="preserve">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CD0B4A"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EE02DF">
            <w:pPr>
              <w:jc w:val="both"/>
              <w:rPr>
                <w:rFonts w:eastAsia="Calibri"/>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w:t>
            </w:r>
            <w:r w:rsidR="00BB147C">
              <w:rPr>
                <w:sz w:val="22"/>
                <w:szCs w:val="22"/>
              </w:rPr>
              <w:lastRenderedPageBreak/>
              <w:t>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3744D7" w:rsidP="001D0B1D">
            <w:pPr>
              <w:rPr>
                <w:color w:val="000000"/>
                <w:sz w:val="22"/>
                <w:szCs w:val="22"/>
              </w:rPr>
            </w:pPr>
            <w:r w:rsidRPr="000E36C2">
              <w:rPr>
                <w:sz w:val="22"/>
                <w:szCs w:val="22"/>
              </w:rPr>
              <w:lastRenderedPageBreak/>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w:t>
            </w:r>
            <w:r w:rsidR="009B5EF4">
              <w:rPr>
                <w:sz w:val="22"/>
                <w:szCs w:val="22"/>
              </w:rPr>
              <w:lastRenderedPageBreak/>
              <w:t>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0E36C2" w:rsidRDefault="00EE02DF" w:rsidP="003744D7">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Default="00EE02DF">
            <w:pPr>
              <w:rPr>
                <w:b/>
                <w:bCs/>
                <w:sz w:val="22"/>
                <w:szCs w:val="22"/>
              </w:rPr>
            </w:pPr>
          </w:p>
          <w:p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C82480"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C82480" w:rsidRDefault="001907F0">
            <w:pPr>
              <w:jc w:val="both"/>
            </w:pPr>
            <w:r>
              <w:rPr>
                <w:b/>
                <w:sz w:val="22"/>
                <w:szCs w:val="22"/>
              </w:rPr>
              <w:t>3.2. Tinkamų finansuoti išlaidų sąrašas: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Galimas kainos pagrindimo būdas</w:t>
            </w:r>
          </w:p>
          <w:p w:rsidR="00C82480" w:rsidRDefault="00C82480">
            <w:pPr>
              <w:jc w:val="center"/>
              <w:rPr>
                <w:i/>
                <w:sz w:val="22"/>
                <w:szCs w:val="22"/>
              </w:rPr>
            </w:pP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lastRenderedPageBreak/>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jc w:val="both"/>
            </w:pPr>
            <w:r>
              <w:rPr>
                <w:b/>
                <w:sz w:val="22"/>
                <w:szCs w:val="22"/>
              </w:rPr>
              <w:t>3.3. Netinkamos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3.3.1. neatitinkančios Vietos projektų administravimo taisyklių 25 punkte nurodytų tinkamų finansuoti išlaidų kategorijų ir neišvardytos FSA;</w:t>
            </w:r>
          </w:p>
          <w:p w:rsidR="00C82480" w:rsidRDefault="001907F0">
            <w:pPr>
              <w:jc w:val="both"/>
            </w:pPr>
            <w:r>
              <w:rPr>
                <w:sz w:val="22"/>
                <w:szCs w:val="22"/>
              </w:rPr>
              <w:t>3.3.2. neišvardytos vietos projekto paraiškoje (po vietos projekto paraiškos pateikimo dienos neleidžiama įtraukti naujų išlaidų ar jas keisti kitomis);</w:t>
            </w:r>
          </w:p>
          <w:p w:rsidR="00C82480" w:rsidRDefault="001907F0">
            <w:pPr>
              <w:jc w:val="both"/>
            </w:pPr>
            <w:r>
              <w:rPr>
                <w:sz w:val="22"/>
                <w:szCs w:val="22"/>
              </w:rPr>
              <w:t>3.3.3. išlaidų dalis, viršijanti tinkamų finansuoti išlaidų įkainį (kai toks yra nustatytas);</w:t>
            </w:r>
          </w:p>
          <w:p w:rsidR="00C82480" w:rsidRDefault="001907F0">
            <w:pPr>
              <w:jc w:val="both"/>
            </w:pPr>
            <w:r>
              <w:rPr>
                <w:sz w:val="22"/>
                <w:szCs w:val="22"/>
              </w:rPr>
              <w:t>3.3.4. nepagrįstai didelės išlaidos;</w:t>
            </w:r>
          </w:p>
          <w:p w:rsidR="00C82480" w:rsidRDefault="00701B45">
            <w:pPr>
              <w:jc w:val="both"/>
            </w:pPr>
            <w:r>
              <w:rPr>
                <w:sz w:val="22"/>
                <w:szCs w:val="22"/>
              </w:rPr>
              <w:t>3.3.5</w:t>
            </w:r>
            <w:r w:rsidR="001907F0">
              <w:rPr>
                <w:sz w:val="22"/>
                <w:szCs w:val="22"/>
              </w:rPr>
              <w:t>. naudotų prekių įsigijimo išlaidos;</w:t>
            </w:r>
          </w:p>
          <w:p w:rsidR="00C82480" w:rsidRDefault="00701B45">
            <w:pPr>
              <w:jc w:val="both"/>
            </w:pPr>
            <w:r>
              <w:rPr>
                <w:sz w:val="22"/>
                <w:szCs w:val="22"/>
              </w:rPr>
              <w:t>3.3.6</w:t>
            </w:r>
            <w:r w:rsidR="001907F0">
              <w:rPr>
                <w:sz w:val="22"/>
                <w:szCs w:val="22"/>
              </w:rPr>
              <w:t>. baudos, nuobaudos ir bylinėjimosi išlaidos;</w:t>
            </w:r>
          </w:p>
          <w:p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66E24" w:rsidRDefault="00701B45" w:rsidP="00466E24">
            <w:pPr>
              <w:jc w:val="both"/>
              <w:rPr>
                <w:sz w:val="22"/>
                <w:szCs w:val="22"/>
              </w:rPr>
            </w:pPr>
            <w:r>
              <w:rPr>
                <w:sz w:val="22"/>
                <w:szCs w:val="22"/>
              </w:rPr>
              <w:t>3.3.10</w:t>
            </w:r>
            <w:r w:rsidR="00466E24">
              <w:rPr>
                <w:sz w:val="22"/>
                <w:szCs w:val="22"/>
              </w:rPr>
              <w:t>. draudimo įmokos;</w:t>
            </w:r>
          </w:p>
          <w:p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jc w:val="both"/>
              <w:rPr>
                <w:sz w:val="22"/>
                <w:szCs w:val="22"/>
              </w:rPr>
            </w:pPr>
            <w:r w:rsidRPr="00B235F8">
              <w:rPr>
                <w:b/>
                <w:sz w:val="22"/>
                <w:szCs w:val="22"/>
              </w:rPr>
              <w:t>Specialiosios tinkamumo sąlygos pareiškėjui nenustatytos.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AE20F3" w:rsidRDefault="001907F0" w:rsidP="001203AE">
            <w:pPr>
              <w:pStyle w:val="BodyText"/>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rsidR="001203AE" w:rsidRPr="00AE20F3" w:rsidRDefault="001907F0" w:rsidP="001203AE">
            <w:pPr>
              <w:pStyle w:val="BodyText"/>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rsidR="00C82480" w:rsidRPr="00AE20F3" w:rsidRDefault="001907F0" w:rsidP="001203AE">
            <w:pPr>
              <w:pStyle w:val="BodyText"/>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rsidR="00C82480" w:rsidRDefault="001907F0" w:rsidP="00342472">
            <w:pPr>
              <w:pStyle w:val="BodyText"/>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r w:rsidR="00AE20F3" w:rsidRPr="00AE20F3">
              <w:rPr>
                <w:sz w:val="22"/>
                <w:szCs w:val="22"/>
              </w:rPr>
              <w:t xml:space="preserve"> </w:t>
            </w:r>
            <w:bookmarkStart w:id="11" w:name="part_7b296f94114040c3b8791389305894ed"/>
            <w:bookmarkEnd w:id="11"/>
          </w:p>
        </w:tc>
      </w:tr>
      <w:tr w:rsidR="00C82480"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C82480" w:rsidRDefault="001907F0">
            <w:pPr>
              <w:rPr>
                <w:b/>
                <w:sz w:val="22"/>
                <w:szCs w:val="22"/>
              </w:rPr>
            </w:pPr>
            <w:r>
              <w:rPr>
                <w:b/>
                <w:sz w:val="22"/>
                <w:szCs w:val="22"/>
              </w:rPr>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AE20F3" w:rsidRDefault="00AE20F3">
            <w:pPr>
              <w:jc w:val="both"/>
              <w:rPr>
                <w:b/>
                <w:sz w:val="22"/>
                <w:szCs w:val="22"/>
              </w:rPr>
            </w:pPr>
          </w:p>
          <w:p w:rsidR="00B235F8" w:rsidRDefault="00B235F8">
            <w:pPr>
              <w:jc w:val="both"/>
              <w:rPr>
                <w:b/>
                <w:sz w:val="22"/>
                <w:szCs w:val="22"/>
              </w:rPr>
            </w:pPr>
          </w:p>
          <w:p w:rsidR="00C82480" w:rsidRDefault="001907F0">
            <w:pPr>
              <w:jc w:val="both"/>
            </w:pPr>
            <w:r>
              <w:rPr>
                <w:b/>
                <w:sz w:val="22"/>
                <w:szCs w:val="22"/>
              </w:rPr>
              <w:lastRenderedPageBreak/>
              <w:t>Bendrosios tinkamumo sąlygos</w:t>
            </w:r>
            <w:r>
              <w:rPr>
                <w:rFonts w:eastAsia="Calibri"/>
                <w:b/>
                <w:sz w:val="22"/>
              </w:rPr>
              <w:t xml:space="preserve">, susijusios su vietos projektu: </w:t>
            </w:r>
          </w:p>
          <w:p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.6. draudimo, perdraudimo ir pensijų lėšų kaupimo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rsidR="00C82480" w:rsidRDefault="00A44522" w:rsidP="00A44522">
            <w:pPr>
              <w:spacing w:line="360" w:lineRule="auto"/>
              <w:ind w:firstLine="567"/>
              <w:jc w:val="both"/>
            </w:pPr>
            <w:r w:rsidRPr="00A44522">
              <w:rPr>
                <w:rFonts w:eastAsia="Calibri"/>
                <w:color w:val="000000"/>
                <w:sz w:val="22"/>
                <w:szCs w:val="22"/>
              </w:rPr>
              <w:lastRenderedPageBreak/>
              <w:t>5.10. farmacine veikla</w:t>
            </w:r>
            <w:r>
              <w:rPr>
                <w:rFonts w:eastAsia="Calibri"/>
                <w:color w:val="000000"/>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Specialiosios tinkamumo sąlyg</w:t>
            </w:r>
            <w:r w:rsidR="00342472">
              <w:rPr>
                <w:b/>
                <w:sz w:val="22"/>
                <w:szCs w:val="22"/>
              </w:rPr>
              <w:t>os vietos projektui:</w:t>
            </w:r>
          </w:p>
        </w:tc>
      </w:tr>
      <w:tr w:rsidR="00342472"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rsidR="00342472" w:rsidRDefault="00342472" w:rsidP="008B1B63">
            <w:pPr>
              <w:jc w:val="both"/>
              <w:rPr>
                <w:b/>
                <w:sz w:val="22"/>
                <w:szCs w:val="22"/>
              </w:rPr>
            </w:pPr>
            <w:r w:rsidRPr="00342472">
              <w:rPr>
                <w:sz w:val="22"/>
                <w:szCs w:val="22"/>
              </w:rPr>
              <w:t xml:space="preserve">3. </w:t>
            </w:r>
            <w:r w:rsidR="008B1B63">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rsidP="007B3FBB">
            <w:pPr>
              <w:jc w:val="both"/>
              <w:rPr>
                <w:b/>
                <w:sz w:val="22"/>
                <w:szCs w:val="22"/>
              </w:rPr>
            </w:pPr>
            <w:r w:rsidRPr="00507D51">
              <w:rPr>
                <w:b/>
                <w:sz w:val="22"/>
                <w:szCs w:val="22"/>
              </w:rPr>
              <w:t>Bendrosios tinkamumo sąlygos nuosavam indėliui</w:t>
            </w:r>
            <w:r>
              <w:rPr>
                <w:b/>
                <w:sz w:val="22"/>
                <w:szCs w:val="22"/>
              </w:rPr>
              <w:t>:</w:t>
            </w:r>
          </w:p>
        </w:tc>
      </w:tr>
      <w:tr w:rsidR="001448F3"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48F3" w:rsidRPr="005A3012" w:rsidRDefault="001448F3" w:rsidP="007B3FBB">
            <w:pPr>
              <w:pStyle w:val="ListParagraph"/>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rsidR="001448F3" w:rsidRDefault="007B3FBB" w:rsidP="001448F3">
            <w:pPr>
              <w:spacing w:line="360" w:lineRule="auto"/>
              <w:ind w:firstLine="567"/>
              <w:jc w:val="both"/>
              <w:rPr>
                <w:rFonts w:eastAsia="Calibri"/>
                <w:color w:val="000000"/>
              </w:rPr>
            </w:pPr>
            <w:r>
              <w:rPr>
                <w:rFonts w:eastAsia="Calibri"/>
              </w:rPr>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xml:space="preserve">. Jeigu finansinė institucija po paramos vietos projektui skyrimo </w:t>
            </w:r>
            <w:r w:rsidR="001448F3">
              <w:rPr>
                <w:rFonts w:eastAsia="Calibri"/>
              </w:rPr>
              <w:lastRenderedPageBreak/>
              <w:t>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nuosavam indėliui nenustatytos</w:t>
            </w:r>
            <w:r w:rsidR="00A44522">
              <w:rPr>
                <w:b/>
                <w:sz w:val="22"/>
                <w:szCs w:val="22"/>
              </w:rPr>
              <w:t>.</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jc w:val="both"/>
              <w:rPr>
                <w:b/>
                <w:sz w:val="22"/>
                <w:szCs w:val="22"/>
              </w:rPr>
            </w:pPr>
            <w:r>
              <w:rPr>
                <w:b/>
                <w:sz w:val="22"/>
                <w:szCs w:val="22"/>
              </w:rPr>
              <w:t>Specialiosios tinkamumo sąlygos nuosavam indėliui nenustatytos.</w:t>
            </w:r>
          </w:p>
        </w:tc>
      </w:tr>
      <w:tr w:rsidR="00C82480"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82480" w:rsidRPr="00A44522" w:rsidRDefault="001907F0">
            <w:pPr>
              <w:spacing w:line="360" w:lineRule="auto"/>
              <w:ind w:firstLine="567"/>
              <w:jc w:val="both"/>
              <w:rPr>
                <w:sz w:val="22"/>
                <w:szCs w:val="22"/>
              </w:rPr>
            </w:pPr>
            <w:r w:rsidRPr="00A44522">
              <w:rPr>
                <w:rFonts w:eastAsia="Calibri"/>
                <w:sz w:val="22"/>
                <w:szCs w:val="22"/>
              </w:rPr>
              <w:t xml:space="preserve">4. viešinti gautą paramą </w:t>
            </w:r>
            <w:r w:rsidR="001448F3" w:rsidRPr="001448F3">
              <w:rPr>
                <w:rFonts w:eastAsia="Calibri"/>
                <w:sz w:val="22"/>
              </w:rPr>
              <w:t>Administravimo taisyklių</w:t>
            </w:r>
            <w:r w:rsidRPr="00A44522">
              <w:rPr>
                <w:rFonts w:eastAsia="Calibri"/>
                <w:sz w:val="22"/>
                <w:szCs w:val="22"/>
              </w:rPr>
              <w:t xml:space="preserve"> </w:t>
            </w:r>
            <w:proofErr w:type="spellStart"/>
            <w:r w:rsidRPr="00A44522">
              <w:rPr>
                <w:rFonts w:eastAsia="Calibri"/>
                <w:sz w:val="22"/>
                <w:szCs w:val="22"/>
              </w:rPr>
              <w:t>Taisyklių</w:t>
            </w:r>
            <w:proofErr w:type="spellEnd"/>
            <w:r w:rsidRPr="00A44522">
              <w:rPr>
                <w:rFonts w:eastAsia="Calibri"/>
                <w:sz w:val="22"/>
                <w:szCs w:val="22"/>
              </w:rPr>
              <w:t xml:space="preserve"> 146–149 punktuose nustatyta tvarka;</w:t>
            </w:r>
          </w:p>
          <w:p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A4452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2E77" w:rsidRPr="00202E77" w:rsidRDefault="00202E77" w:rsidP="00202E77">
            <w:pPr>
              <w:pStyle w:val="ListParagraph"/>
              <w:numPr>
                <w:ilvl w:val="0"/>
                <w:numId w:val="3"/>
              </w:numPr>
              <w:jc w:val="both"/>
              <w:rPr>
                <w:b/>
                <w:sz w:val="22"/>
                <w:szCs w:val="22"/>
              </w:rPr>
            </w:pPr>
            <w:r w:rsidRPr="00202E77">
              <w:rPr>
                <w:sz w:val="22"/>
                <w:szCs w:val="22"/>
              </w:rPr>
              <w:t>Remiama veikla bus vykdoma Šiaulių ŽRVVG teritorijoje;</w:t>
            </w:r>
          </w:p>
          <w:p w:rsidR="00202E77" w:rsidRPr="00202E77" w:rsidRDefault="00202E77" w:rsidP="00202E77">
            <w:pPr>
              <w:pStyle w:val="ListParagraph"/>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rsidR="00202E77" w:rsidRPr="00202E77" w:rsidRDefault="00202E77" w:rsidP="00202E77">
            <w:pPr>
              <w:pStyle w:val="ListParagraph"/>
              <w:numPr>
                <w:ilvl w:val="0"/>
                <w:numId w:val="3"/>
              </w:numPr>
              <w:jc w:val="both"/>
              <w:rPr>
                <w:b/>
                <w:sz w:val="22"/>
                <w:szCs w:val="22"/>
              </w:rPr>
            </w:pPr>
            <w:r>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suppressAutoHyphens/>
              <w:spacing w:line="276" w:lineRule="auto"/>
              <w:textAlignment w:val="center"/>
              <w:rPr>
                <w:b/>
                <w:sz w:val="22"/>
                <w:szCs w:val="22"/>
              </w:rPr>
            </w:pPr>
            <w:r>
              <w:rPr>
                <w:b/>
              </w:rPr>
              <w:t>5. SU VIETOS PROJEKTO PARAIŠKA TEIKIAMI DOKUMENTAI</w:t>
            </w:r>
          </w:p>
        </w:tc>
      </w:tr>
      <w:tr w:rsidR="00C82480"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FootnoteReference"/>
                <w:rFonts w:ascii="Times New Roman" w:hAnsi="Times New Roman" w:cs="Times New Roman"/>
                <w:i/>
                <w:sz w:val="22"/>
                <w:szCs w:val="22"/>
                <w:lang w:val="lt-LT"/>
              </w:rPr>
              <w:t xml:space="preserve"> </w:t>
            </w:r>
          </w:p>
          <w:p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FootnoteReference"/>
                <w:rFonts w:ascii="Times New Roman" w:hAnsi="Times New Roman" w:cs="Times New Roman"/>
                <w:i/>
                <w:sz w:val="22"/>
                <w:szCs w:val="22"/>
                <w:lang w:val="lt-LT"/>
              </w:rPr>
              <w:t xml:space="preserve"> </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sidR="00AD77C6">
              <w:rPr>
                <w:rFonts w:ascii="Times New Roman" w:hAnsi="Times New Roman" w:cs="Times New Roman"/>
                <w:sz w:val="22"/>
                <w:szCs w:val="22"/>
                <w:lang w:val="lt-LT"/>
              </w:rPr>
              <w:t>;</w:t>
            </w:r>
          </w:p>
          <w:p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rsidR="00C82480" w:rsidRPr="006258A6" w:rsidRDefault="004862E4">
            <w:pPr>
              <w:jc w:val="both"/>
              <w:rPr>
                <w:sz w:val="22"/>
                <w:szCs w:val="22"/>
              </w:rPr>
            </w:pPr>
            <w:r>
              <w:rPr>
                <w:sz w:val="22"/>
                <w:szCs w:val="22"/>
              </w:rPr>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1907F0" w:rsidRPr="006258A6">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rsidR="0049036B" w:rsidRPr="006D7176" w:rsidRDefault="0049036B" w:rsidP="0049036B">
            <w:pPr>
              <w:jc w:val="both"/>
              <w:rPr>
                <w:sz w:val="22"/>
                <w:szCs w:val="22"/>
              </w:rPr>
            </w:pPr>
            <w:r w:rsidRPr="006D7176">
              <w:rPr>
                <w:sz w:val="22"/>
                <w:szCs w:val="22"/>
              </w:rPr>
              <w:t>1 priedas „Vietos projekto paraiškos forma“;</w:t>
            </w:r>
          </w:p>
          <w:p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49036B" w:rsidRPr="00507D51" w:rsidRDefault="0049036B">
            <w:pPr>
              <w:pStyle w:val="BodyText1"/>
              <w:ind w:firstLine="0"/>
              <w:rPr>
                <w:b/>
                <w:sz w:val="22"/>
                <w:szCs w:val="22"/>
              </w:rPr>
            </w:pPr>
          </w:p>
        </w:tc>
      </w:tr>
    </w:tbl>
    <w:p w:rsidR="0030423B" w:rsidRDefault="0030423B" w:rsidP="0030423B">
      <w:pPr>
        <w:suppressAutoHyphens/>
        <w:spacing w:line="276" w:lineRule="auto"/>
        <w:textAlignment w:val="center"/>
        <w:rPr>
          <w:b/>
          <w:color w:val="000000"/>
          <w:sz w:val="22"/>
          <w:szCs w:val="22"/>
        </w:rPr>
      </w:pPr>
    </w:p>
    <w:p w:rsidR="00C82480" w:rsidRPr="0049036B" w:rsidRDefault="00C82480">
      <w:pPr>
        <w:pStyle w:val="BodyTextIndent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F4" w:rsidRDefault="00C337F4">
      <w:r>
        <w:separator/>
      </w:r>
    </w:p>
  </w:endnote>
  <w:endnote w:type="continuationSeparator" w:id="0">
    <w:p w:rsidR="00C337F4" w:rsidRDefault="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C4AE0" w:rsidRDefault="007C4AE0">
                          <w:pPr>
                            <w:pStyle w:val="Puslapinporat"/>
                            <w:rPr>
                              <w:rStyle w:val="PageNumber"/>
                              <w:color w:val="000000"/>
                            </w:rPr>
                          </w:pPr>
                        </w:p>
                      </w:txbxContent>
                    </wps:txbx>
                    <wps:bodyPr lIns="0" tIns="0" rIns="0" bIns="0">
                      <a:spAutoFit/>
                    </wps:bodyPr>
                  </wps:wsp>
                </a:graphicData>
              </a:graphic>
            </wp:anchor>
          </w:drawing>
        </mc:Choice>
        <mc:Fallback>
          <w:pict>
            <v:rect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F4" w:rsidRDefault="00C337F4">
      <w:r>
        <w:separator/>
      </w:r>
    </w:p>
  </w:footnote>
  <w:footnote w:type="continuationSeparator" w:id="0">
    <w:p w:rsidR="00C337F4" w:rsidRDefault="00C337F4">
      <w:r>
        <w:continuationSeparator/>
      </w:r>
    </w:p>
  </w:footnote>
  <w:footnote w:id="1">
    <w:p w:rsidR="007C4AE0" w:rsidRDefault="007C4AE0">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574702">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p>
  <w:p w:rsidR="007C4AE0" w:rsidRDefault="007C4AE0">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574702">
      <w:rPr>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rPr>
        <w:lang w:val="lt-LT"/>
      </w:rPr>
    </w:pPr>
    <w:r>
      <w:rPr>
        <w:lang w:val="lt-LT"/>
      </w:rPr>
      <w:t>11</w:t>
    </w:r>
  </w:p>
  <w:p w:rsidR="007C4AE0" w:rsidRDefault="007C4AE0">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4118C"/>
    <w:rsid w:val="00051FA1"/>
    <w:rsid w:val="000660D4"/>
    <w:rsid w:val="000E36C2"/>
    <w:rsid w:val="001203AE"/>
    <w:rsid w:val="00121946"/>
    <w:rsid w:val="001448F3"/>
    <w:rsid w:val="001907F0"/>
    <w:rsid w:val="001B1367"/>
    <w:rsid w:val="001D0B1D"/>
    <w:rsid w:val="00202E77"/>
    <w:rsid w:val="00211988"/>
    <w:rsid w:val="0025587E"/>
    <w:rsid w:val="002B40CC"/>
    <w:rsid w:val="002B5EF4"/>
    <w:rsid w:val="0030423B"/>
    <w:rsid w:val="00342472"/>
    <w:rsid w:val="00352BC7"/>
    <w:rsid w:val="003744D7"/>
    <w:rsid w:val="00442D68"/>
    <w:rsid w:val="0044357B"/>
    <w:rsid w:val="00457921"/>
    <w:rsid w:val="00466E24"/>
    <w:rsid w:val="004862E4"/>
    <w:rsid w:val="0049036B"/>
    <w:rsid w:val="004B67DD"/>
    <w:rsid w:val="004D2363"/>
    <w:rsid w:val="004E363B"/>
    <w:rsid w:val="004E677C"/>
    <w:rsid w:val="00522A36"/>
    <w:rsid w:val="00563234"/>
    <w:rsid w:val="00566623"/>
    <w:rsid w:val="00574702"/>
    <w:rsid w:val="0058227A"/>
    <w:rsid w:val="005B0EE1"/>
    <w:rsid w:val="005D1931"/>
    <w:rsid w:val="00604802"/>
    <w:rsid w:val="0061009D"/>
    <w:rsid w:val="006258A6"/>
    <w:rsid w:val="006473B8"/>
    <w:rsid w:val="0065463E"/>
    <w:rsid w:val="0068663D"/>
    <w:rsid w:val="006949F7"/>
    <w:rsid w:val="00696835"/>
    <w:rsid w:val="006B5A8D"/>
    <w:rsid w:val="006C254C"/>
    <w:rsid w:val="006D55CE"/>
    <w:rsid w:val="007014FE"/>
    <w:rsid w:val="00701B45"/>
    <w:rsid w:val="00785558"/>
    <w:rsid w:val="007B3FBB"/>
    <w:rsid w:val="007C4AE0"/>
    <w:rsid w:val="007E0561"/>
    <w:rsid w:val="00800C6E"/>
    <w:rsid w:val="00802AED"/>
    <w:rsid w:val="0085046F"/>
    <w:rsid w:val="00856110"/>
    <w:rsid w:val="0086543E"/>
    <w:rsid w:val="00867924"/>
    <w:rsid w:val="008B1B63"/>
    <w:rsid w:val="008F253F"/>
    <w:rsid w:val="009002EA"/>
    <w:rsid w:val="00912E5C"/>
    <w:rsid w:val="00916B51"/>
    <w:rsid w:val="00927051"/>
    <w:rsid w:val="0097034F"/>
    <w:rsid w:val="00972799"/>
    <w:rsid w:val="009B5EF4"/>
    <w:rsid w:val="009D3696"/>
    <w:rsid w:val="009E06CA"/>
    <w:rsid w:val="009F003C"/>
    <w:rsid w:val="00A2066D"/>
    <w:rsid w:val="00A44522"/>
    <w:rsid w:val="00A91ABE"/>
    <w:rsid w:val="00AB12DC"/>
    <w:rsid w:val="00AB4A1A"/>
    <w:rsid w:val="00AD77C6"/>
    <w:rsid w:val="00AE20F3"/>
    <w:rsid w:val="00AF0BF8"/>
    <w:rsid w:val="00B119EC"/>
    <w:rsid w:val="00B123BA"/>
    <w:rsid w:val="00B235F8"/>
    <w:rsid w:val="00B8073E"/>
    <w:rsid w:val="00BB147C"/>
    <w:rsid w:val="00BE5BAA"/>
    <w:rsid w:val="00C03323"/>
    <w:rsid w:val="00C337F4"/>
    <w:rsid w:val="00C33E3D"/>
    <w:rsid w:val="00C82480"/>
    <w:rsid w:val="00C846A4"/>
    <w:rsid w:val="00C95EF1"/>
    <w:rsid w:val="00CC108B"/>
    <w:rsid w:val="00CD0B4A"/>
    <w:rsid w:val="00D06DDA"/>
    <w:rsid w:val="00D915A7"/>
    <w:rsid w:val="00DA6E18"/>
    <w:rsid w:val="00DC6BF1"/>
    <w:rsid w:val="00DE0926"/>
    <w:rsid w:val="00DF653D"/>
    <w:rsid w:val="00E01A9C"/>
    <w:rsid w:val="00E113E6"/>
    <w:rsid w:val="00E47866"/>
    <w:rsid w:val="00EE02DF"/>
    <w:rsid w:val="00F1012A"/>
    <w:rsid w:val="00F22EE7"/>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uiPriority w:val="99"/>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CB26-8E4C-45D7-99FD-DBC2929D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28719</Words>
  <Characters>16370</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120</cp:revision>
  <cp:lastPrinted>2017-06-21T07:18:00Z</cp:lastPrinted>
  <dcterms:created xsi:type="dcterms:W3CDTF">2018-02-22T06:27:00Z</dcterms:created>
  <dcterms:modified xsi:type="dcterms:W3CDTF">2020-02-25T14:16:00Z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